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Times New Roman" w:eastAsia="黑体" w:cs="Times New Roman"/>
          <w:snapToGrid/>
          <w:color w:val="0C0C0C"/>
          <w:spacing w:val="0"/>
          <w:w w:val="100"/>
          <w:position w:val="0"/>
          <w:sz w:val="30"/>
          <w:szCs w:val="30"/>
          <w:u w:val="none" w:color="auto"/>
          <w:vertAlign w:val="baseline"/>
          <w:lang w:val="en-US" w:eastAsia="zh-CN"/>
        </w:rPr>
      </w:pPr>
      <w:r>
        <w:rPr>
          <w:rFonts w:hint="eastAsia" w:ascii="黑体" w:hAnsi="黑体" w:eastAsia="黑体" w:cs="黑体"/>
          <w:sz w:val="30"/>
          <w:szCs w:val="30"/>
          <w:lang w:val="en-US"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pPr>
      <w:r>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t>XX企业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pPr>
      <w:r>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lang w:val="en-US" w:eastAsia="zh-CN"/>
        </w:rPr>
        <w:t>市级节水型企业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pPr>
      <w:r>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t>申请报告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Times New Roman" w:eastAsia="黑体" w:cs="Times New Roman"/>
          <w:snapToGrid/>
          <w:color w:val="0C0C0C"/>
          <w:spacing w:val="0"/>
          <w:w w:val="100"/>
          <w:position w:val="0"/>
          <w:sz w:val="32"/>
          <w:szCs w:val="32"/>
          <w:u w:val="none" w:color="auto"/>
          <w:vertAlign w:val="baseline"/>
        </w:rPr>
      </w:pPr>
      <w:r>
        <w:rPr>
          <w:rFonts w:hint="eastAsia" w:ascii="黑体" w:hAnsi="Times New Roman" w:eastAsia="黑体" w:cs="Times New Roman"/>
          <w:snapToGrid/>
          <w:color w:val="0C0C0C"/>
          <w:spacing w:val="0"/>
          <w:w w:val="100"/>
          <w:position w:val="0"/>
          <w:sz w:val="32"/>
          <w:szCs w:val="32"/>
          <w:u w:val="none" w:color="auto"/>
          <w:vertAlign w:val="baseline"/>
        </w:rPr>
        <w:t>202</w:t>
      </w:r>
      <w:r>
        <w:rPr>
          <w:rFonts w:hint="eastAsia" w:ascii="黑体" w:hAnsi="Times New Roman" w:eastAsia="黑体" w:cs="Times New Roman"/>
          <w:snapToGrid/>
          <w:color w:val="0C0C0C"/>
          <w:spacing w:val="0"/>
          <w:w w:val="100"/>
          <w:position w:val="0"/>
          <w:sz w:val="32"/>
          <w:szCs w:val="32"/>
          <w:u w:val="none" w:color="auto"/>
          <w:vertAlign w:val="baseline"/>
          <w:lang w:val="en-US" w:eastAsia="zh-CN"/>
        </w:rPr>
        <w:t xml:space="preserve"> </w:t>
      </w:r>
      <w:r>
        <w:rPr>
          <w:rFonts w:hint="eastAsia" w:ascii="黑体" w:hAnsi="Times New Roman" w:eastAsia="黑体" w:cs="Times New Roman"/>
          <w:snapToGrid/>
          <w:color w:val="0C0C0C"/>
          <w:spacing w:val="0"/>
          <w:w w:val="100"/>
          <w:position w:val="0"/>
          <w:sz w:val="32"/>
          <w:szCs w:val="32"/>
          <w:u w:val="none" w:color="auto"/>
          <w:vertAlign w:val="baseline"/>
        </w:rPr>
        <w:t>年</w:t>
      </w:r>
      <w:r>
        <w:rPr>
          <w:rFonts w:hint="eastAsia" w:ascii="黑体" w:hAnsi="Times New Roman" w:eastAsia="黑体" w:cs="Times New Roman"/>
          <w:snapToGrid/>
          <w:color w:val="0C0C0C"/>
          <w:spacing w:val="0"/>
          <w:w w:val="100"/>
          <w:position w:val="0"/>
          <w:sz w:val="32"/>
          <w:szCs w:val="32"/>
          <w:u w:val="none" w:color="auto"/>
          <w:vertAlign w:val="baseline"/>
          <w:lang w:val="en-US" w:eastAsia="zh-CN"/>
        </w:rPr>
        <w:t xml:space="preserve"> </w:t>
      </w:r>
      <w:r>
        <w:rPr>
          <w:rFonts w:hint="eastAsia" w:ascii="黑体" w:hAnsi="Times New Roman" w:eastAsia="黑体" w:cs="Times New Roman"/>
          <w:snapToGrid/>
          <w:color w:val="0C0C0C"/>
          <w:spacing w:val="0"/>
          <w:w w:val="100"/>
          <w:position w:val="0"/>
          <w:sz w:val="32"/>
          <w:szCs w:val="32"/>
          <w:u w:val="none" w:color="auto"/>
          <w:vertAlign w:val="baseline"/>
        </w:rPr>
        <w:t>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r>
        <w:rPr>
          <w:rFonts w:hint="eastAsia" w:ascii="仿宋_GB2312" w:hAnsi="Times New Roman" w:eastAsia="仿宋_GB2312" w:cs="Times New Roman"/>
          <w:snapToGrid/>
          <w:color w:val="0C0C0C"/>
          <w:spacing w:val="0"/>
          <w:w w:val="100"/>
          <w:position w:val="0"/>
          <w:sz w:val="44"/>
          <w:szCs w:val="44"/>
          <w:u w:val="none" w:color="auto"/>
          <w:vertAlign w:val="baseline"/>
          <w:lang w:val="en-US" w:eastAsia="zh-CN" w:bidi="ar-SA"/>
        </w:rPr>
        <w:br w:type="page"/>
      </w:r>
      <w:r>
        <w:rPr>
          <w:rFonts w:hint="eastAsia" w:ascii="方正小标宋简体" w:hAnsi="Times New Roman" w:eastAsia="方正小标宋简体" w:cs="Times New Roman"/>
          <w:snapToGrid/>
          <w:color w:val="0C0C0C"/>
          <w:spacing w:val="0"/>
          <w:w w:val="100"/>
          <w:position w:val="0"/>
          <w:sz w:val="44"/>
          <w:szCs w:val="44"/>
          <w:u w:val="none" w:color="auto"/>
          <w:vertAlign w:val="baseline"/>
        </w:rPr>
        <w:t>填写说明</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．申报企业应按照有关要求如实编写申请报告，并提供必要的证明材料。</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2</w:t>
      </w:r>
      <w:r>
        <w:rPr>
          <w:rFonts w:hint="eastAsia" w:ascii="Times New Roman" w:hAnsi="Times New Roman" w:eastAsia="仿宋_GB2312" w:cs="Times New Roman"/>
          <w:snapToGrid/>
          <w:color w:val="auto"/>
          <w:spacing w:val="0"/>
          <w:w w:val="100"/>
          <w:position w:val="0"/>
          <w:sz w:val="32"/>
          <w:szCs w:val="32"/>
          <w:u w:val="none" w:color="auto"/>
          <w:vertAlign w:val="baseline"/>
        </w:rPr>
        <w:t>．申请报告包含但不限于下列内容：</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）企业基本信息表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ascii="Times New Roman" w:hAnsi="Times New Roman" w:eastAsia="仿宋_GB2312" w:cs="Times New Roman"/>
          <w:snapToGrid/>
          <w:color w:val="auto"/>
          <w:spacing w:val="0"/>
          <w:w w:val="100"/>
          <w:position w:val="0"/>
          <w:sz w:val="32"/>
          <w:szCs w:val="32"/>
          <w:u w:val="none" w:color="auto"/>
          <w:vertAlign w:val="baseline"/>
        </w:rPr>
        <w:t>2</w:t>
      </w:r>
      <w:r>
        <w:rPr>
          <w:rFonts w:hint="eastAsia" w:ascii="Times New Roman" w:hAnsi="Times New Roman" w:eastAsia="仿宋_GB2312" w:cs="Times New Roman"/>
          <w:snapToGrid/>
          <w:color w:val="auto"/>
          <w:spacing w:val="0"/>
          <w:w w:val="100"/>
          <w:position w:val="0"/>
          <w:sz w:val="32"/>
          <w:szCs w:val="32"/>
          <w:u w:val="none" w:color="auto"/>
          <w:vertAlign w:val="baseline"/>
        </w:rPr>
        <w:t>）企业水效分析报告</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ascii="Times New Roman" w:hAnsi="Times New Roman" w:eastAsia="仿宋_GB2312" w:cs="Times New Roman"/>
          <w:snapToGrid/>
          <w:color w:val="auto"/>
          <w:spacing w:val="0"/>
          <w:w w:val="100"/>
          <w:position w:val="0"/>
          <w:sz w:val="32"/>
          <w:szCs w:val="32"/>
          <w:u w:val="none" w:color="auto"/>
          <w:vertAlign w:val="baseline"/>
        </w:rPr>
        <w:t>3</w:t>
      </w:r>
      <w:r>
        <w:rPr>
          <w:rFonts w:hint="eastAsia" w:ascii="Times New Roman" w:hAnsi="Times New Roman" w:eastAsia="仿宋_GB2312" w:cs="Times New Roman"/>
          <w:snapToGrid/>
          <w:color w:val="auto"/>
          <w:spacing w:val="0"/>
          <w:w w:val="100"/>
          <w:position w:val="0"/>
          <w:sz w:val="32"/>
          <w:szCs w:val="32"/>
          <w:u w:val="none" w:color="auto"/>
          <w:vertAlign w:val="baseline"/>
        </w:rPr>
        <w:t>）企业自评表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3</w:t>
      </w:r>
      <w:r>
        <w:rPr>
          <w:rFonts w:hint="eastAsia" w:ascii="Times New Roman" w:hAnsi="Times New Roman" w:eastAsia="仿宋_GB2312" w:cs="Times New Roman"/>
          <w:snapToGrid/>
          <w:color w:val="auto"/>
          <w:spacing w:val="0"/>
          <w:w w:val="100"/>
          <w:position w:val="0"/>
          <w:sz w:val="32"/>
          <w:szCs w:val="32"/>
          <w:u w:val="none" w:color="auto"/>
          <w:vertAlign w:val="baseline"/>
        </w:rPr>
        <w:t>．以上材料需按顺序编排，并在相应位置加盖公章。</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Fonts w:hint="eastAsia" w:ascii="方正小标宋简体" w:hAnsi="Times New Roman" w:eastAsia="方正小标宋简体" w:cs="Times New Roman"/>
          <w:bCs/>
          <w:snapToGrid/>
          <w:color w:val="0C0C0C"/>
          <w:spacing w:val="0"/>
          <w:w w:val="100"/>
          <w:position w:val="0"/>
          <w:sz w:val="40"/>
          <w:szCs w:val="36"/>
          <w:u w:val="none" w:color="auto"/>
          <w:vertAlign w:val="baseline"/>
        </w:rPr>
      </w:pPr>
      <w:r>
        <w:rPr>
          <w:rFonts w:hint="eastAsia" w:ascii="仿宋_GB2312" w:hAnsi="Times New Roman" w:eastAsia="仿宋_GB2312" w:cs="Times New Roman"/>
          <w:b/>
          <w:bCs/>
          <w:snapToGrid/>
          <w:color w:val="0C0C0C"/>
          <w:spacing w:val="0"/>
          <w:w w:val="100"/>
          <w:position w:val="0"/>
          <w:sz w:val="36"/>
          <w:szCs w:val="36"/>
          <w:u w:val="none" w:color="auto"/>
          <w:vertAlign w:val="baseline"/>
          <w:lang w:val="en-US" w:eastAsia="zh-CN" w:bidi="ar-SA"/>
        </w:rPr>
        <w:br w:type="page"/>
      </w: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企业基本信息表</w:t>
      </w:r>
    </w:p>
    <w:tbl>
      <w:tblPr>
        <w:tblStyle w:val="3"/>
        <w:tblW w:w="87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0"/>
        <w:gridCol w:w="127"/>
        <w:gridCol w:w="1560"/>
        <w:gridCol w:w="538"/>
        <w:gridCol w:w="2229"/>
        <w:gridCol w:w="23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b/>
                <w:bCs/>
                <w:snapToGrid/>
                <w:color w:val="0C0C0C"/>
                <w:spacing w:val="0"/>
                <w:w w:val="100"/>
                <w:position w:val="0"/>
                <w:sz w:val="24"/>
                <w:szCs w:val="24"/>
                <w:u w:val="none" w:color="auto"/>
                <w:vertAlign w:val="baseline"/>
              </w:rPr>
            </w:pPr>
            <w:r>
              <w:rPr>
                <w:rFonts w:hint="eastAsia" w:ascii="宋体" w:hAnsi="宋体" w:eastAsia="宋体" w:cs="宋体"/>
                <w:b/>
                <w:bCs/>
                <w:snapToGrid/>
                <w:color w:val="0C0C0C"/>
                <w:spacing w:val="0"/>
                <w:w w:val="100"/>
                <w:position w:val="0"/>
                <w:sz w:val="24"/>
                <w:szCs w:val="24"/>
                <w:u w:val="none" w:color="auto"/>
                <w:vertAlign w:val="baseline"/>
              </w:rPr>
              <w:t>一、企业基本信息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企业名称</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组织机构代码</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邮编</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详细地址</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法定代表人</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法人代表联系电话</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联系部门</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联系人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联系电话</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传真</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手机</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电子邮箱</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auto"/>
                <w:spacing w:val="0"/>
                <w:w w:val="100"/>
                <w:position w:val="0"/>
                <w:sz w:val="24"/>
                <w:szCs w:val="24"/>
                <w:u w:val="none" w:color="auto"/>
                <w:vertAlign w:val="baseline"/>
              </w:rPr>
              <w:t>所属行业</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auto"/>
                <w:spacing w:val="0"/>
                <w:w w:val="100"/>
                <w:position w:val="0"/>
                <w:sz w:val="24"/>
                <w:szCs w:val="24"/>
                <w:u w:val="none" w:color="auto"/>
                <w:vertAlign w:val="baseline"/>
              </w:rPr>
              <w:t>企业人数</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企业类型</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内资（</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国有</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集体</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民营）</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中外合资</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港澳台</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外商独资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b/>
                <w:bCs/>
                <w:snapToGrid/>
                <w:color w:val="0C0C0C"/>
                <w:spacing w:val="0"/>
                <w:w w:val="100"/>
                <w:position w:val="0"/>
                <w:sz w:val="24"/>
                <w:szCs w:val="24"/>
                <w:u w:val="none" w:color="auto"/>
                <w:vertAlign w:val="baseline"/>
              </w:rPr>
            </w:pPr>
            <w:r>
              <w:rPr>
                <w:rFonts w:hint="eastAsia" w:ascii="宋体" w:hAnsi="宋体" w:eastAsia="宋体" w:cs="宋体"/>
                <w:b/>
                <w:bCs/>
                <w:snapToGrid/>
                <w:color w:val="0C0C0C"/>
                <w:spacing w:val="0"/>
                <w:w w:val="100"/>
                <w:position w:val="0"/>
                <w:sz w:val="24"/>
                <w:szCs w:val="24"/>
                <w:u w:val="none" w:color="auto"/>
                <w:vertAlign w:val="baseline"/>
              </w:rPr>
              <w:t>二、企业水效指标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主要产品</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主要水源</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singl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23</w:t>
            </w:r>
            <w:r>
              <w:rPr>
                <w:rFonts w:hint="eastAsia" w:ascii="宋体" w:hAnsi="宋体" w:eastAsia="宋体" w:cs="宋体"/>
                <w:snapToGrid/>
                <w:color w:val="0C0C0C"/>
                <w:spacing w:val="0"/>
                <w:w w:val="100"/>
                <w:position w:val="0"/>
                <w:sz w:val="24"/>
                <w:szCs w:val="24"/>
                <w:u w:val="none" w:color="auto"/>
                <w:vertAlign w:val="baseline"/>
              </w:rPr>
              <w:t>年总产值（万元）</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23</w:t>
            </w:r>
            <w:r>
              <w:rPr>
                <w:rFonts w:hint="eastAsia" w:ascii="宋体" w:hAnsi="宋体" w:eastAsia="宋体" w:cs="宋体"/>
                <w:snapToGrid/>
                <w:color w:val="0C0C0C"/>
                <w:spacing w:val="0"/>
                <w:w w:val="100"/>
                <w:position w:val="0"/>
                <w:sz w:val="24"/>
                <w:szCs w:val="24"/>
                <w:u w:val="none" w:color="auto"/>
                <w:vertAlign w:val="baseline"/>
              </w:rPr>
              <w:t>年取水量（m</w:t>
            </w:r>
            <w:r>
              <w:rPr>
                <w:rFonts w:hint="eastAsia" w:ascii="宋体" w:hAnsi="宋体" w:eastAsia="宋体" w:cs="宋体"/>
                <w:snapToGrid/>
                <w:color w:val="0C0C0C"/>
                <w:spacing w:val="0"/>
                <w:w w:val="100"/>
                <w:position w:val="0"/>
                <w:sz w:val="24"/>
                <w:szCs w:val="24"/>
                <w:u w:val="none" w:color="auto"/>
                <w:vertAlign w:val="superscript"/>
              </w:rPr>
              <w:t>3</w:t>
            </w:r>
            <w:r>
              <w:rPr>
                <w:rFonts w:hint="eastAsia" w:ascii="宋体" w:hAnsi="宋体" w:eastAsia="宋体" w:cs="宋体"/>
                <w:snapToGrid/>
                <w:color w:val="0C0C0C"/>
                <w:spacing w:val="0"/>
                <w:w w:val="100"/>
                <w:position w:val="0"/>
                <w:sz w:val="24"/>
                <w:szCs w:val="24"/>
                <w:u w:val="none" w:color="auto"/>
                <w:vertAlign w:val="baseline"/>
              </w:rPr>
              <w:t>）</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近三年企业单位产品用水量指标（请注明单位）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21</w:t>
            </w:r>
            <w:r>
              <w:rPr>
                <w:rFonts w:hint="eastAsia" w:ascii="宋体" w:hAnsi="宋体" w:eastAsia="宋体" w:cs="宋体"/>
                <w:snapToGrid/>
                <w:color w:val="0C0C0C"/>
                <w:spacing w:val="0"/>
                <w:w w:val="100"/>
                <w:position w:val="0"/>
                <w:sz w:val="24"/>
                <w:szCs w:val="24"/>
                <w:u w:val="none" w:color="auto"/>
                <w:vertAlign w:val="baseline"/>
              </w:rPr>
              <w:t>年</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napToGrid/>
                <w:color w:val="auto"/>
                <w:spacing w:val="0"/>
                <w:w w:val="100"/>
                <w:position w:val="0"/>
                <w:sz w:val="24"/>
                <w:szCs w:val="24"/>
                <w:u w:val="none" w:color="auto"/>
                <w:vertAlign w:val="baseli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22</w:t>
            </w:r>
            <w:r>
              <w:rPr>
                <w:rFonts w:hint="eastAsia" w:ascii="宋体" w:hAnsi="宋体" w:eastAsia="宋体" w:cs="宋体"/>
                <w:snapToGrid/>
                <w:color w:val="0C0C0C"/>
                <w:spacing w:val="0"/>
                <w:w w:val="100"/>
                <w:position w:val="0"/>
                <w:sz w:val="24"/>
                <w:szCs w:val="24"/>
                <w:u w:val="none" w:color="auto"/>
                <w:vertAlign w:val="baseline"/>
              </w:rPr>
              <w:t>年</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napToGrid/>
                <w:color w:val="auto"/>
                <w:spacing w:val="0"/>
                <w:w w:val="100"/>
                <w:position w:val="0"/>
                <w:sz w:val="24"/>
                <w:szCs w:val="24"/>
                <w:u w:val="none" w:color="auto"/>
                <w:vertAlign w:val="baseli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23</w:t>
            </w:r>
            <w:r>
              <w:rPr>
                <w:rFonts w:hint="eastAsia" w:ascii="宋体" w:hAnsi="宋体" w:eastAsia="宋体" w:cs="宋体"/>
                <w:snapToGrid/>
                <w:color w:val="0C0C0C"/>
                <w:spacing w:val="0"/>
                <w:w w:val="100"/>
                <w:position w:val="0"/>
                <w:sz w:val="24"/>
                <w:szCs w:val="24"/>
                <w:u w:val="none" w:color="auto"/>
                <w:vertAlign w:val="baseline"/>
              </w:rPr>
              <w:t>年</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材料真实性承诺：</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我单位郑重承诺：本次申报</w:t>
            </w:r>
            <w:r>
              <w:rPr>
                <w:rFonts w:hint="eastAsia" w:ascii="宋体" w:hAnsi="宋体" w:eastAsia="宋体" w:cs="宋体"/>
                <w:snapToGrid/>
                <w:color w:val="0C0C0C"/>
                <w:spacing w:val="0"/>
                <w:w w:val="100"/>
                <w:position w:val="0"/>
                <w:sz w:val="24"/>
                <w:szCs w:val="24"/>
                <w:u w:val="none" w:color="auto"/>
                <w:vertAlign w:val="baseline"/>
                <w:lang w:val="en-US" w:eastAsia="zh-CN"/>
              </w:rPr>
              <w:t>市级节水型企业</w:t>
            </w:r>
            <w:r>
              <w:rPr>
                <w:rFonts w:hint="eastAsia" w:ascii="宋体" w:hAnsi="宋体" w:eastAsia="宋体" w:cs="宋体"/>
                <w:snapToGrid/>
                <w:color w:val="0C0C0C"/>
                <w:spacing w:val="0"/>
                <w:w w:val="100"/>
                <w:position w:val="0"/>
                <w:sz w:val="24"/>
                <w:szCs w:val="24"/>
                <w:u w:val="none" w:color="auto"/>
                <w:vertAlign w:val="baseline"/>
              </w:rPr>
              <w:t>所提交的相关数据和信息均真实、有效，愿接受并积极配合主管部门的监督抽查和核验。如有违反，愿承担由此产生的相应责任。</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0" w:firstLineChars="200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单位负责人（签字）：</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 xml:space="preserve">                                     （申报单位公章）</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0"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推荐单位意见：</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1440" w:firstLineChars="60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（水利部门公章）             （工信部门公章）</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 xml:space="preserve">                                       年    月    日</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snapToGrid/>
          <w:color w:val="auto"/>
          <w:spacing w:val="0"/>
          <w:w w:val="100"/>
          <w:position w:val="0"/>
          <w:sz w:val="44"/>
          <w:szCs w:val="32"/>
          <w:u w:val="none" w:color="auto"/>
          <w:vertAlign w:val="baseline"/>
        </w:rPr>
      </w:pP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企业水效分析报告（格式）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一、基本情况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（一）企业基本情况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．企业规模：包括企业地理位置（流域）、近三年的生产规模、产品结构、历年产量产值、组织结构、员工人数；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2</w:t>
      </w:r>
      <w:r>
        <w:rPr>
          <w:rFonts w:hint="eastAsia" w:ascii="Times New Roman" w:hAnsi="Times New Roman" w:eastAsia="仿宋_GB2312" w:cs="Times New Roman"/>
          <w:snapToGrid/>
          <w:color w:val="auto"/>
          <w:spacing w:val="0"/>
          <w:w w:val="100"/>
          <w:position w:val="0"/>
          <w:sz w:val="32"/>
          <w:szCs w:val="32"/>
          <w:u w:val="none" w:color="auto"/>
          <w:vertAlign w:val="baseline"/>
        </w:rPr>
        <w:t>．生产情况：包括企业生产的主要原材料消耗、能源消耗、主要用水环节和用水设备等；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3</w:t>
      </w:r>
      <w:r>
        <w:rPr>
          <w:rFonts w:hint="eastAsia" w:ascii="Times New Roman" w:hAnsi="Times New Roman" w:eastAsia="仿宋_GB2312" w:cs="Times New Roman"/>
          <w:snapToGrid/>
          <w:color w:val="auto"/>
          <w:spacing w:val="0"/>
          <w:w w:val="100"/>
          <w:position w:val="0"/>
          <w:sz w:val="32"/>
          <w:szCs w:val="32"/>
          <w:u w:val="none" w:color="auto"/>
          <w:vertAlign w:val="baseline"/>
        </w:rPr>
        <w:t>．取用水情况：包括企业的取水水源（常规水资源、非常规水资源）、取水量、排水量、用水计量设备配备、用水计量、水质数据监测等情况。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（二）申请</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市级节水型企业</w:t>
      </w:r>
      <w:r>
        <w:rPr>
          <w:rFonts w:hint="eastAsia" w:ascii="Times New Roman" w:hAnsi="Times New Roman" w:eastAsia="仿宋_GB2312" w:cs="Times New Roman"/>
          <w:snapToGrid/>
          <w:color w:val="auto"/>
          <w:spacing w:val="0"/>
          <w:w w:val="100"/>
          <w:position w:val="0"/>
          <w:sz w:val="32"/>
          <w:szCs w:val="32"/>
          <w:u w:val="none" w:color="auto"/>
          <w:vertAlign w:val="baseline"/>
        </w:rPr>
        <w:t>的相关生产情况</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二、工艺及技术水平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（一）主要工艺流程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包括企业生产主要工艺流程，包括工艺流程图等。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（二）主要用水设备规模及其技术水平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包括企业循环水系统、冷却塔、换热器、锅炉、制冷、制氧、软化处理、污水处理等主要用水设备的设备配置、服务区域、运行情况、处理能力等，以及主要用水设备的技术水平情况。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（三）与国内外同类企业相比在节水方面的突出做法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采取的先进节水工艺技术和装备情况、节水技术改造项目情况、节水管理措施等。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三、取用水情况及水效指标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（一）主要用水工序、用水设备的取用水情况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包括企业生产主要用水工序、用水设备的取水量、排水量、水质情况等。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（二）近三年单位产品取水量及水效指标。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水效指标主要包括单位产品取水量、重复利用率、循环利用率、废水回用率、用水综合漏失率等。具体指标要求及报表格式依据以下标准：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 24789-2009 </w:t>
      </w:r>
      <w:r>
        <w:rPr>
          <w:rFonts w:hint="eastAsia" w:ascii="Times New Roman" w:hAnsi="Times New Roman" w:eastAsia="仿宋_GB2312" w:cs="Times New Roman"/>
          <w:snapToGrid/>
          <w:color w:val="auto"/>
          <w:spacing w:val="0"/>
          <w:w w:val="100"/>
          <w:position w:val="0"/>
          <w:sz w:val="32"/>
          <w:szCs w:val="32"/>
          <w:u w:val="none" w:color="auto"/>
          <w:vertAlign w:val="baseline"/>
        </w:rPr>
        <w:t>用水单位水计量器具配备和管理通则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7119-2018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节水型企业评价导则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GB/T 26925-2011 节水型企业 火力发电行业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26924-2011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钢铁行业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GB/T 34608-2017</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 铁矿采选行业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26923-2011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纺织染整行业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37832-2019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化纤长丝织造行业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26927-2011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造纸行业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26926-2011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石油炼制行业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34610-2017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炼焦行业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37759-2019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现代煤化工行业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32164-2015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乙烯行业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33232-2016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氧化铝行业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33233-2016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电解铝行业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37271-2018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氯碱行业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36895-2018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氮肥行业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GB/T 37332-2019</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 船舶行业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GB/T 38907-2020</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 多晶硅行业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32165-2015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味精行业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35576-2017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啤酒行业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0"/>
          <w:szCs w:val="32"/>
          <w:u w:val="none" w:color="auto"/>
          <w:vertAlign w:val="baseline"/>
          <w:lang w:val="en-US" w:eastAsia="zh-CN"/>
        </w:rPr>
      </w:pP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DB61/T 943-2020</w:t>
      </w:r>
      <w:r>
        <w:rPr>
          <w:rFonts w:hint="eastAsia" w:ascii="仿宋_GB2312" w:hAnsi="Times New Roman" w:eastAsia="仿宋_GB2312" w:cs="Times New Roman"/>
          <w:snapToGrid/>
          <w:color w:val="auto"/>
          <w:spacing w:val="0"/>
          <w:w w:val="100"/>
          <w:kern w:val="2"/>
          <w:position w:val="0"/>
          <w:sz w:val="30"/>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陕西省行业用水定额</w:t>
      </w:r>
      <w:r>
        <w:rPr>
          <w:rFonts w:hint="eastAsia" w:ascii="仿宋_GB2312" w:hAnsi="Times New Roman" w:eastAsia="仿宋_GB2312" w:cs="Times New Roman"/>
          <w:snapToGrid/>
          <w:color w:val="auto"/>
          <w:spacing w:val="0"/>
          <w:w w:val="100"/>
          <w:kern w:val="2"/>
          <w:position w:val="0"/>
          <w:sz w:val="30"/>
          <w:szCs w:val="32"/>
          <w:u w:val="none" w:color="auto"/>
          <w:vertAlign w:val="baseline"/>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auto"/>
        <w:outlineLvl w:val="9"/>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注：（1）对《节水型企业 火力发电行业》等18个行业国标和《陕西省行业用水定额》重叠部分内容，需对照取更为严格的量化指标要求（已在企业自评表中列明要求）。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auto"/>
        <w:outlineLvl w:val="9"/>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（2）其他行业节水型企业国家标准出台前，可先按照《陕西省行业用水定额》(DB61/T 943-2020)标准计算本企业的技术考核指标值，对照定额先进值和领跑值，用于市级节水型企业的技术指标评定执行。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四、水效提升经验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（一）企业节水管理经验。介绍企业在节水方面采取的管理措施、方法以及制定的相应管理制度以及取得的效果。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（二）企业节水技术改造经验。介绍企业采用的先进节水技术、装备和产品，采取的优化运行、水重复利用等方面的节水措施以及取得的节水效益。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（三）重大节水工程。介绍企业实施的重大节水技术改造工程，包括种类、数量以及因此取得的节水效益。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五、未来三年拟采取的主要水效提升措施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未来三年拟采取的主要水效提升措施，如节水技术改造项目（如水重复利用、非常规水利用等）、节水管理措施（如用水管理负责人制度、合同节水管理等）。请分项简述建设内容、预期投资和预期节水效果。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六、证明材料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此部分包括但不限于以下材料：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（一）企业营业执照复印件，企业组织机构代码证复印件</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（二）企业取水相关证明材料（取水许可证或用水合同协议、废水达标排放、近三年用水无超计划等。若地方部门并无相关证明，可由企业书面做出相应承诺）</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（三）企业用水相关材料（企业用水记录、统计报表、费用账单、水计量器具台账</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、水计量器具一览表、技术档案</w:t>
      </w:r>
      <w:r>
        <w:rPr>
          <w:rFonts w:hint="eastAsia" w:ascii="Times New Roman" w:hAnsi="Times New Roman" w:eastAsia="仿宋_GB2312" w:cs="Times New Roman"/>
          <w:snapToGrid/>
          <w:color w:val="auto"/>
          <w:spacing w:val="0"/>
          <w:w w:val="100"/>
          <w:position w:val="0"/>
          <w:sz w:val="32"/>
          <w:szCs w:val="32"/>
          <w:u w:val="none" w:color="auto"/>
          <w:vertAlign w:val="baseline"/>
        </w:rPr>
        <w:t>、供排水管网图、维修及校验记录等</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相关材料</w:t>
      </w: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（四）企业用水设备相关材料（用水设备设计图纸、设备配置情况、运行记录、节水设施现场图片资料等）</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（五）企业节水管理相关材料（水平衡测试报告、节水管理制度文件、节水规划和年度节水计划文件、节水统计报表等）。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六</w:t>
      </w:r>
      <w:r>
        <w:rPr>
          <w:rFonts w:hint="eastAsia" w:ascii="Times New Roman" w:hAnsi="Times New Roman" w:eastAsia="仿宋_GB2312" w:cs="Times New Roman"/>
          <w:snapToGrid/>
          <w:color w:val="auto"/>
          <w:spacing w:val="0"/>
          <w:w w:val="100"/>
          <w:position w:val="0"/>
          <w:sz w:val="32"/>
          <w:szCs w:val="32"/>
          <w:u w:val="none" w:color="auto"/>
          <w:vertAlign w:val="baseline"/>
        </w:rPr>
        <w:t>）企业废水排放符合标准要求相关材料（由所在地环保部门出具）。</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snapToGrid/>
          <w:color w:val="auto"/>
          <w:spacing w:val="0"/>
          <w:w w:val="100"/>
          <w:position w:val="0"/>
          <w:sz w:val="44"/>
          <w:szCs w:val="32"/>
          <w:u w:val="none" w:color="auto"/>
          <w:vertAlign w:val="baseline"/>
        </w:rPr>
      </w:pP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企业</w:t>
      </w: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lang w:val="en-US" w:eastAsia="zh-CN"/>
        </w:rPr>
        <w:t>自评表</w:t>
      </w: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（格式）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一、自评总则</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市级</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节水型企业</w:t>
      </w:r>
      <w:r>
        <w:rPr>
          <w:rFonts w:hint="eastAsia" w:ascii="Times New Roman" w:hAnsi="Times New Roman" w:eastAsia="仿宋_GB2312" w:cs="Times New Roman"/>
          <w:snapToGrid/>
          <w:color w:val="auto"/>
          <w:spacing w:val="0"/>
          <w:w w:val="100"/>
          <w:position w:val="0"/>
          <w:sz w:val="32"/>
          <w:szCs w:val="32"/>
          <w:u w:val="none" w:color="auto"/>
          <w:vertAlign w:val="baseline"/>
        </w:rPr>
        <w:t>自评表分为一票否决指标和量化评价指标。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2</w:t>
      </w:r>
      <w:r>
        <w:rPr>
          <w:rFonts w:hint="eastAsia" w:ascii="Times New Roman" w:hAnsi="Times New Roman" w:eastAsia="仿宋_GB2312" w:cs="Times New Roman"/>
          <w:snapToGrid/>
          <w:color w:val="auto"/>
          <w:spacing w:val="0"/>
          <w:w w:val="100"/>
          <w:position w:val="0"/>
          <w:sz w:val="32"/>
          <w:szCs w:val="32"/>
          <w:u w:val="none" w:color="auto"/>
          <w:vertAlign w:val="baseline"/>
        </w:rPr>
        <w:t>．一票否决指标如有不满足项，取消该企业</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市级</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节水型企业</w:t>
      </w:r>
      <w:r>
        <w:rPr>
          <w:rFonts w:hint="eastAsia" w:ascii="Times New Roman" w:hAnsi="Times New Roman" w:eastAsia="仿宋_GB2312" w:cs="Times New Roman"/>
          <w:snapToGrid/>
          <w:color w:val="auto"/>
          <w:spacing w:val="0"/>
          <w:w w:val="100"/>
          <w:position w:val="0"/>
          <w:sz w:val="32"/>
          <w:szCs w:val="32"/>
          <w:u w:val="none" w:color="auto"/>
          <w:vertAlign w:val="baseline"/>
        </w:rPr>
        <w:t>评选资格，不参加后续量化打分。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3</w:t>
      </w:r>
      <w:r>
        <w:rPr>
          <w:rFonts w:hint="eastAsia" w:ascii="Times New Roman" w:hAnsi="Times New Roman" w:eastAsia="仿宋_GB2312" w:cs="Times New Roman"/>
          <w:snapToGrid/>
          <w:color w:val="auto"/>
          <w:spacing w:val="0"/>
          <w:w w:val="100"/>
          <w:position w:val="0"/>
          <w:sz w:val="32"/>
          <w:szCs w:val="32"/>
          <w:u w:val="none" w:color="auto"/>
          <w:vertAlign w:val="baseline"/>
        </w:rPr>
        <w:t>．量化评价分管理考核指标和技术考核指标。管理考核指标总分</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需</w:t>
      </w:r>
      <w:r>
        <w:rPr>
          <w:rFonts w:hint="eastAsia" w:ascii="Times New Roman" w:hAnsi="Times New Roman" w:eastAsia="仿宋_GB2312" w:cs="Times New Roman"/>
          <w:snapToGrid/>
          <w:color w:val="auto"/>
          <w:spacing w:val="0"/>
          <w:w w:val="100"/>
          <w:position w:val="0"/>
          <w:sz w:val="32"/>
          <w:szCs w:val="32"/>
          <w:u w:val="none" w:color="auto"/>
          <w:vertAlign w:val="baseline"/>
        </w:rPr>
        <w:t>达到</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42</w:t>
      </w:r>
      <w:r>
        <w:rPr>
          <w:rFonts w:hint="eastAsia" w:ascii="Times New Roman" w:hAnsi="Times New Roman" w:eastAsia="仿宋_GB2312" w:cs="Times New Roman"/>
          <w:snapToGrid/>
          <w:color w:val="auto"/>
          <w:spacing w:val="0"/>
          <w:w w:val="100"/>
          <w:position w:val="0"/>
          <w:sz w:val="32"/>
          <w:szCs w:val="32"/>
          <w:u w:val="none" w:color="auto"/>
          <w:vertAlign w:val="baseline"/>
        </w:rPr>
        <w:t>分，且技术考核指标</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需</w:t>
      </w:r>
      <w:r>
        <w:rPr>
          <w:rFonts w:hint="eastAsia" w:ascii="Times New Roman" w:hAnsi="Times New Roman" w:eastAsia="仿宋_GB2312" w:cs="Times New Roman"/>
          <w:snapToGrid/>
          <w:color w:val="auto"/>
          <w:spacing w:val="0"/>
          <w:w w:val="100"/>
          <w:position w:val="0"/>
          <w:sz w:val="32"/>
          <w:szCs w:val="32"/>
          <w:u w:val="none" w:color="auto"/>
          <w:vertAlign w:val="baseline"/>
        </w:rPr>
        <w:t>达到最低限值。</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lang w:val="en-US" w:eastAsia="zh-CN"/>
        </w:rPr>
        <w:t>二</w:t>
      </w:r>
      <w:r>
        <w:rPr>
          <w:rFonts w:hint="eastAsia" w:ascii="黑体" w:hAnsi="Times New Roman" w:eastAsia="黑体" w:cs="Times New Roman"/>
          <w:snapToGrid/>
          <w:color w:val="auto"/>
          <w:spacing w:val="0"/>
          <w:w w:val="100"/>
          <w:position w:val="0"/>
          <w:sz w:val="32"/>
          <w:szCs w:val="32"/>
          <w:u w:val="none" w:color="auto"/>
          <w:vertAlign w:val="baseline"/>
        </w:rPr>
        <w:t>、一票否决指标</w:t>
      </w:r>
    </w:p>
    <w:tbl>
      <w:tblPr>
        <w:tblStyle w:val="3"/>
        <w:tblW w:w="889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4"/>
        <w:gridCol w:w="6660"/>
        <w:gridCol w:w="14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tblHeader/>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序号</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评价指标</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评价情况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有取用水资源的合法手续，取用水手续齐全（并附证明）</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近三年无超计划超定额用水（并附证明）</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近三年内未发生重大安全和环境事故，无违法行为，未被列入企业经营异常名录或严重违法失信企业名单</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按照规定周期开展过水平衡测试或用水审计(水平衡测试报告或用水审计报告应通过主管部门的专家评审文件或能够证明其效力的文件)</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5</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未使用国家明令禁止或列入禁止、淘汰目录的用水设备和器具</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建立健全节水管理制度，各生产环节有配套的节水措施</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；生活用水和生产用水分别计量付费；自制蒸汽单位应将供气锅炉蒸汽冷凝水回收至锅炉水补水，外购蒸汽单位应当充分利用蒸汽冷凝水，严禁直接排放；</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新建、改建、扩建项目时，节水设施应与主体工程同时设计、同时施工、同时投入运行，做到用水计划到位、节水目标到位、管水制度到位、节水措施到位（节水“三同时、四到位”制度）</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水计量器具配备满足国家标准《用水单位水计量器具配备和管理通则》（</w:t>
            </w:r>
            <w:r>
              <w:rPr>
                <w:rFonts w:ascii="Times New Roman" w:hAnsi="Times New Roman" w:eastAsia="宋体" w:cs="Times New Roman"/>
                <w:snapToGrid/>
                <w:color w:val="auto"/>
                <w:spacing w:val="0"/>
                <w:w w:val="100"/>
                <w:position w:val="0"/>
                <w:sz w:val="24"/>
                <w:szCs w:val="24"/>
                <w:u w:val="none" w:color="auto"/>
                <w:vertAlign w:val="baseline"/>
              </w:rPr>
              <w:t>GB24789</w:t>
            </w:r>
            <w:r>
              <w:rPr>
                <w:rFonts w:hint="eastAsia" w:ascii="Times New Roman" w:hAnsi="Times New Roman" w:eastAsia="宋体" w:cs="Times New Roman"/>
                <w:snapToGrid/>
                <w:color w:val="auto"/>
                <w:spacing w:val="0"/>
                <w:w w:val="100"/>
                <w:position w:val="0"/>
                <w:sz w:val="24"/>
                <w:szCs w:val="24"/>
                <w:u w:val="none" w:color="auto"/>
                <w:vertAlign w:val="baseline"/>
              </w:rPr>
              <w:t>）要求</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w:t>
            </w:r>
            <w:r>
              <w:rPr>
                <w:rFonts w:hint="eastAsia" w:ascii="Times New Roman" w:hAnsi="Times New Roman" w:eastAsia="宋体" w:cs="Times New Roman"/>
                <w:snapToGrid/>
                <w:color w:val="auto"/>
                <w:spacing w:val="0"/>
                <w:w w:val="100"/>
                <w:position w:val="0"/>
                <w:sz w:val="24"/>
                <w:szCs w:val="24"/>
                <w:u w:val="none" w:color="auto"/>
                <w:vertAlign w:val="baseline"/>
              </w:rPr>
              <w:t>依法检定或校准</w:t>
            </w:r>
            <w:r>
              <w:rPr>
                <w:rFonts w:ascii="Times New Roman" w:hAnsi="Times New Roman" w:eastAsia="宋体" w:cs="Times New Roman"/>
                <w:snapToGrid/>
                <w:color w:val="auto"/>
                <w:spacing w:val="0"/>
                <w:w w:val="100"/>
                <w:position w:val="0"/>
                <w:sz w:val="24"/>
                <w:szCs w:val="24"/>
                <w:u w:val="none" w:color="auto"/>
                <w:vertAlign w:val="baseline"/>
              </w:rPr>
              <w:t>（并附水计量器具规格型号清单）</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9</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企业废水排放符合标准要求（并附地方环保证明或地方排污许可证）</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；工艺用水及直接冷却水不直排，应回用或重复利用</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Segoe UI Symbol" w:hAnsi="Segoe UI Symbol" w:eastAsia="宋体" w:cs="Segoe UI Symbol"/>
                <w:snapToGrid/>
                <w:color w:val="auto"/>
                <w:spacing w:val="0"/>
                <w:w w:val="100"/>
                <w:position w:val="0"/>
                <w:sz w:val="24"/>
                <w:szCs w:val="24"/>
                <w:u w:val="none" w:color="auto"/>
                <w:vertAlign w:val="baseline"/>
                <w:lang w:bidi="ar-SA"/>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lang w:val="en-US" w:eastAsia="zh-CN"/>
        </w:rPr>
        <w:t>三</w:t>
      </w:r>
      <w:r>
        <w:rPr>
          <w:rFonts w:hint="eastAsia" w:ascii="黑体" w:hAnsi="Times New Roman" w:eastAsia="黑体" w:cs="Times New Roman"/>
          <w:snapToGrid/>
          <w:color w:val="auto"/>
          <w:spacing w:val="0"/>
          <w:w w:val="100"/>
          <w:position w:val="0"/>
          <w:sz w:val="32"/>
          <w:szCs w:val="32"/>
          <w:u w:val="none" w:color="auto"/>
          <w:vertAlign w:val="baseline"/>
        </w:rPr>
        <w:t>、量化评价指标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．管理考核指标</w:t>
      </w:r>
    </w:p>
    <w:tbl>
      <w:tblPr>
        <w:tblStyle w:val="3"/>
        <w:tblW w:w="8911" w:type="dxa"/>
        <w:jc w:val="center"/>
        <w:tblLayout w:type="fixed"/>
        <w:tblCellMar>
          <w:top w:w="0" w:type="dxa"/>
          <w:left w:w="108" w:type="dxa"/>
          <w:bottom w:w="0" w:type="dxa"/>
          <w:right w:w="108" w:type="dxa"/>
        </w:tblCellMar>
      </w:tblPr>
      <w:tblGrid>
        <w:gridCol w:w="553"/>
        <w:gridCol w:w="823"/>
        <w:gridCol w:w="1461"/>
        <w:gridCol w:w="2466"/>
        <w:gridCol w:w="1627"/>
        <w:gridCol w:w="488"/>
        <w:gridCol w:w="785"/>
        <w:gridCol w:w="708"/>
      </w:tblGrid>
      <w:tr>
        <w:tblPrEx>
          <w:tblCellMar>
            <w:top w:w="0" w:type="dxa"/>
            <w:left w:w="108" w:type="dxa"/>
            <w:bottom w:w="0" w:type="dxa"/>
            <w:right w:w="108" w:type="dxa"/>
          </w:tblCellMar>
        </w:tblPrEx>
        <w:trPr>
          <w:cantSplit/>
          <w:trHeight w:val="755"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序号</w:t>
            </w:r>
          </w:p>
        </w:tc>
        <w:tc>
          <w:tcPr>
            <w:tcW w:w="82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指标</w:t>
            </w:r>
          </w:p>
        </w:tc>
        <w:tc>
          <w:tcPr>
            <w:tcW w:w="3927"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考核方法</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总分</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自评</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得分</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自评</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说明</w:t>
            </w:r>
          </w:p>
        </w:tc>
      </w:tr>
      <w:tr>
        <w:tblPrEx>
          <w:tblCellMar>
            <w:top w:w="0" w:type="dxa"/>
            <w:left w:w="108" w:type="dxa"/>
            <w:bottom w:w="0" w:type="dxa"/>
            <w:right w:w="108" w:type="dxa"/>
          </w:tblCellMar>
        </w:tblPrEx>
        <w:trPr>
          <w:cantSplit/>
          <w:trHeight w:val="2045" w:hRule="atLeast"/>
          <w:jc w:val="center"/>
        </w:trPr>
        <w:tc>
          <w:tcPr>
            <w:tcW w:w="553" w:type="dxa"/>
            <w:vMerge w:val="restart"/>
            <w:tcBorders>
              <w:top w:val="nil"/>
              <w:left w:val="single" w:color="000000"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p>
        </w:tc>
        <w:tc>
          <w:tcPr>
            <w:tcW w:w="823" w:type="dxa"/>
            <w:vMerge w:val="restart"/>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管理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制度</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有科学合理的节水管理网络和岗位责任制。</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①有节水管理制度、节水管理网络；</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②有岗位责任管理制度、有岗位责任奖惩制度。</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查阅文件、网络图和工作记录。责任落实奖惩依据及记录。</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562" w:hRule="atLeast"/>
          <w:jc w:val="center"/>
        </w:trPr>
        <w:tc>
          <w:tcPr>
            <w:tcW w:w="553"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有制定节水规划和年度节水计划。</w:t>
            </w:r>
          </w:p>
        </w:tc>
        <w:tc>
          <w:tcPr>
            <w:tcW w:w="2466"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①制定节水规划，有节水目标和任务，并分解到各部门；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②制定年度节水计划；</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③有年度节水工作总结。</w:t>
            </w:r>
          </w:p>
        </w:tc>
        <w:tc>
          <w:tcPr>
            <w:tcW w:w="1627"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查阅有关文件和记录</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以及查节水规划、年度节水计划的落实情况。</w:t>
            </w:r>
          </w:p>
        </w:tc>
        <w:tc>
          <w:tcPr>
            <w:tcW w:w="488"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308" w:hRule="atLeast"/>
          <w:jc w:val="center"/>
        </w:trPr>
        <w:tc>
          <w:tcPr>
            <w:tcW w:w="553"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有健全的节水统计制度，定期向相关部门报送节水统计报表。</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①有节水用水统计制度；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②定期向相关部门报送节水用水统计报表；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③有定期统计分析报告。</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查阅有关资料。</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管理机构和人员</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有主要领导负责用水、节水工作。</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①有企业主要领导负责节水工作；</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②企业主要领导熟悉和经常性组织节水工作。</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查阅有关文件及会议记录。</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197"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有用水、节水管理部门和专（兼）职用水、节水管理人员。</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①设有企业节水管理部门；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②有专（兼）职用水、节水管理人员。</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查阅企业主管部门文件。</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253" w:hRule="atLeast"/>
          <w:jc w:val="center"/>
        </w:trPr>
        <w:tc>
          <w:tcPr>
            <w:tcW w:w="55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82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管网（设备）管理</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有详细的供水管网图、排水管网图和计量网络图。</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①有详细供水、排水管网图；</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②有详细供水计量网络图；</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③有用水、节水设备操作规程。</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查阅有关文件、图纸及更新增补资料，查看现场。</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827" w:hRule="atLeast"/>
          <w:jc w:val="center"/>
        </w:trPr>
        <w:tc>
          <w:tcPr>
            <w:tcW w:w="553"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有日常巡查和保修检修制度，定期对管网和设备进行检修。</w:t>
            </w:r>
          </w:p>
        </w:tc>
        <w:tc>
          <w:tcPr>
            <w:tcW w:w="24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①有日常巡查和保修检修制度；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②定期对管网和设备进行检修。</w:t>
            </w:r>
          </w:p>
        </w:tc>
        <w:tc>
          <w:tcPr>
            <w:tcW w:w="16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查阅设备巡查记录和落实情况。查阅年度管网查漏计划及执行记录，查阅管网漏点的检修记录。</w:t>
            </w:r>
          </w:p>
        </w:tc>
        <w:tc>
          <w:tcPr>
            <w:tcW w:w="48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130" w:hRule="atLeast"/>
          <w:jc w:val="center"/>
        </w:trPr>
        <w:tc>
          <w:tcPr>
            <w:tcW w:w="553" w:type="dxa"/>
            <w:vMerge w:val="restart"/>
            <w:tcBorders>
              <w:top w:val="single" w:color="000000" w:sz="4" w:space="0"/>
              <w:left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823" w:type="dxa"/>
            <w:vMerge w:val="restart"/>
            <w:tcBorders>
              <w:top w:val="single" w:color="000000" w:sz="4" w:space="0"/>
              <w:left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水计量管理</w:t>
            </w:r>
          </w:p>
        </w:tc>
        <w:tc>
          <w:tcPr>
            <w:tcW w:w="14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原始记录和统计台帐完整规范并定期进行分析。</w:t>
            </w:r>
          </w:p>
        </w:tc>
        <w:tc>
          <w:tcPr>
            <w:tcW w:w="24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①有完整规范供水计量原始纪录；</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②有完整规范供水计量统计台帐；</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③有定期原始记录和统计分析报告。</w:t>
            </w:r>
          </w:p>
        </w:tc>
        <w:tc>
          <w:tcPr>
            <w:tcW w:w="16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查阅台账和分析报告，核实数据。</w:t>
            </w:r>
          </w:p>
        </w:tc>
        <w:tc>
          <w:tcPr>
            <w:tcW w:w="48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1605" w:hRule="atLeast"/>
          <w:jc w:val="center"/>
        </w:trPr>
        <w:tc>
          <w:tcPr>
            <w:tcW w:w="553" w:type="dxa"/>
            <w:vMerge w:val="continue"/>
            <w:tcBorders>
              <w:left w:val="single" w:color="000000" w:sz="4" w:space="0"/>
              <w:bottom w:val="single" w:color="auto" w:sz="8"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left w:val="single" w:color="000000" w:sz="4" w:space="0"/>
              <w:bottom w:val="single" w:color="auto" w:sz="8"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内部实行定额管理，节奖超罚。</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①有内部用水定额管理制度；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②有内部节水管理考核奖惩制度。</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查阅定额管理节奖超罚文件和资料。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727"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5</w:t>
            </w:r>
          </w:p>
        </w:tc>
        <w:tc>
          <w:tcPr>
            <w:tcW w:w="82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水平衡测试</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按规定周期进行水平衡测试。</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①定期开展水平衡测试、有水平衡测试报告；</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②开展供水管网检测漏；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③制定基于水平衡测试的节水整改优化方案。</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查阅水平衡测试报告书及有关文件。查阅水平衡测试问题的整改落实情况。</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396"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82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生产工艺和设备</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开展节水技术改造。</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①有节水改造项目立项报告和实施计划；</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②有节水技术改造项目实施方案；</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③有节水项目实施情况分析报告和项目清单。</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查阅有关工作记录。项目立项及实施情况，项目效果及收益情况。</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196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nil"/>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使用节水新技术、新工艺、新设备。</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①使用节水新技术、新工艺、新设备；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②节水设备运行正常、管理维护好。</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节水设备管理好且运行正常，查阅有关记录，查看现场。</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699"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w:t>
            </w:r>
          </w:p>
        </w:tc>
        <w:tc>
          <w:tcPr>
            <w:tcW w:w="82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节水</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宣传</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经常性开展节水宣传教育。</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①经常性开展内部节水宣传和张贴宣传标识、社会节水宣传活动；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②定期开展节水教育培训和知识竞赛活动；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③参与节水标准制修订工作。</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查看相关资料。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1689"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职工有节水意识。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①有发表节水文章和论文；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②有全员岗位节水“金点子”及奖励制度；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③有节水宣传标识。</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查看相关资料。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w:t>
            </w:r>
          </w:p>
        </w:tc>
        <w:tc>
          <w:tcPr>
            <w:tcW w:w="82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水源</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结构</w:t>
            </w:r>
          </w:p>
        </w:tc>
        <w:tc>
          <w:tcPr>
            <w:tcW w:w="3927"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企业有使用地下水的情况。</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查看取水许可证等相关资料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CellMar>
            <w:top w:w="0" w:type="dxa"/>
            <w:left w:w="108" w:type="dxa"/>
            <w:bottom w:w="0" w:type="dxa"/>
            <w:right w:w="108" w:type="dxa"/>
          </w:tblCellMar>
        </w:tblPrEx>
        <w:trPr>
          <w:cantSplit/>
          <w:trHeight w:val="2070" w:hRule="atLeast"/>
          <w:jc w:val="center"/>
        </w:trPr>
        <w:tc>
          <w:tcPr>
            <w:tcW w:w="891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：自评打分依据：</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）企业管理考核的计分标准满分为</w:t>
            </w:r>
            <w:r>
              <w:rPr>
                <w:rFonts w:ascii="Times New Roman" w:hAnsi="Times New Roman" w:eastAsia="宋体" w:cs="Times New Roman"/>
                <w:snapToGrid/>
                <w:color w:val="auto"/>
                <w:spacing w:val="0"/>
                <w:w w:val="100"/>
                <w:position w:val="0"/>
                <w:sz w:val="24"/>
                <w:szCs w:val="24"/>
                <w:u w:val="none" w:color="auto"/>
                <w:vertAlign w:val="baseline"/>
              </w:rPr>
              <w:t>60</w:t>
            </w:r>
            <w:r>
              <w:rPr>
                <w:rFonts w:hint="eastAsia" w:ascii="Times New Roman" w:hAnsi="Times New Roman" w:eastAsia="宋体" w:cs="Times New Roman"/>
                <w:snapToGrid/>
                <w:color w:val="auto"/>
                <w:spacing w:val="0"/>
                <w:w w:val="100"/>
                <w:position w:val="0"/>
                <w:sz w:val="24"/>
                <w:szCs w:val="24"/>
                <w:u w:val="none" w:color="auto"/>
                <w:vertAlign w:val="baseline"/>
              </w:rPr>
              <w:t>分，得分在</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42</w:t>
            </w:r>
            <w:r>
              <w:rPr>
                <w:rFonts w:hint="eastAsia" w:ascii="Times New Roman" w:hAnsi="Times New Roman" w:eastAsia="宋体" w:cs="Times New Roman"/>
                <w:snapToGrid/>
                <w:color w:val="auto"/>
                <w:spacing w:val="0"/>
                <w:w w:val="100"/>
                <w:position w:val="0"/>
                <w:sz w:val="24"/>
                <w:szCs w:val="24"/>
                <w:u w:val="none" w:color="auto"/>
                <w:vertAlign w:val="baseline"/>
              </w:rPr>
              <w:t>分以上（含</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42</w:t>
            </w:r>
            <w:r>
              <w:rPr>
                <w:rFonts w:hint="eastAsia" w:ascii="Times New Roman" w:hAnsi="Times New Roman" w:eastAsia="宋体" w:cs="Times New Roman"/>
                <w:snapToGrid/>
                <w:color w:val="auto"/>
                <w:spacing w:val="0"/>
                <w:w w:val="100"/>
                <w:position w:val="0"/>
                <w:sz w:val="24"/>
                <w:szCs w:val="24"/>
                <w:u w:val="none" w:color="auto"/>
                <w:vertAlign w:val="baseline"/>
              </w:rPr>
              <w:t>分）的企业达到企业管理考核指标的要求；</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）针对第</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w:t>
            </w:r>
            <w:r>
              <w:rPr>
                <w:rFonts w:hint="eastAsia" w:ascii="Times New Roman" w:hAnsi="Times New Roman" w:eastAsia="宋体" w:cs="Times New Roman"/>
                <w:snapToGrid/>
                <w:color w:val="auto"/>
                <w:spacing w:val="0"/>
                <w:w w:val="100"/>
                <w:position w:val="0"/>
                <w:sz w:val="24"/>
                <w:szCs w:val="24"/>
                <w:u w:val="none" w:color="auto"/>
                <w:vertAlign w:val="baseline"/>
              </w:rPr>
              <w:t>项、第</w:t>
            </w: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项第</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条、第</w:t>
            </w:r>
            <w:r>
              <w:rPr>
                <w:rFonts w:ascii="Times New Roman" w:hAnsi="Times New Roman" w:eastAsia="宋体" w:cs="Times New Roman"/>
                <w:snapToGrid/>
                <w:color w:val="auto"/>
                <w:spacing w:val="0"/>
                <w:w w:val="100"/>
                <w:position w:val="0"/>
                <w:sz w:val="24"/>
                <w:szCs w:val="24"/>
                <w:u w:val="none" w:color="auto"/>
                <w:vertAlign w:val="baseline"/>
              </w:rPr>
              <w:t>4</w:t>
            </w:r>
            <w:r>
              <w:rPr>
                <w:rFonts w:hint="eastAsia" w:ascii="Times New Roman" w:hAnsi="Times New Roman" w:eastAsia="宋体" w:cs="Times New Roman"/>
                <w:snapToGrid/>
                <w:color w:val="auto"/>
                <w:spacing w:val="0"/>
                <w:w w:val="100"/>
                <w:position w:val="0"/>
                <w:sz w:val="24"/>
                <w:szCs w:val="24"/>
                <w:u w:val="none" w:color="auto"/>
                <w:vertAlign w:val="baseline"/>
              </w:rPr>
              <w:t>项第</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条的考核中，缺一项扣</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分；</w:t>
            </w: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）其他项（除第</w:t>
            </w:r>
            <w:r>
              <w:rPr>
                <w:rFonts w:ascii="Times New Roman" w:hAnsi="Times New Roman" w:eastAsia="宋体" w:cs="Times New Roman"/>
                <w:snapToGrid/>
                <w:color w:val="auto"/>
                <w:spacing w:val="0"/>
                <w:w w:val="100"/>
                <w:position w:val="0"/>
                <w:sz w:val="24"/>
                <w:szCs w:val="24"/>
                <w:u w:val="none" w:color="auto"/>
                <w:vertAlign w:val="baseline"/>
              </w:rPr>
              <w:t>8</w:t>
            </w:r>
            <w:r>
              <w:rPr>
                <w:rFonts w:hint="eastAsia" w:ascii="Times New Roman" w:hAnsi="Times New Roman" w:eastAsia="宋体" w:cs="Times New Roman"/>
                <w:snapToGrid/>
                <w:color w:val="auto"/>
                <w:spacing w:val="0"/>
                <w:w w:val="100"/>
                <w:position w:val="0"/>
                <w:sz w:val="24"/>
                <w:szCs w:val="24"/>
                <w:u w:val="none" w:color="auto"/>
                <w:vertAlign w:val="baseline"/>
              </w:rPr>
              <w:t>项外）考核中相关文件、资料、记录等齐全完善的满分，缺一项扣</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分；</w:t>
            </w:r>
            <w:r>
              <w:rPr>
                <w:rFonts w:ascii="Times New Roman" w:hAnsi="Times New Roman" w:eastAsia="宋体" w:cs="Times New Roman"/>
                <w:snapToGrid/>
                <w:color w:val="auto"/>
                <w:spacing w:val="0"/>
                <w:w w:val="100"/>
                <w:position w:val="0"/>
                <w:sz w:val="24"/>
                <w:szCs w:val="24"/>
                <w:u w:val="none" w:color="auto"/>
                <w:vertAlign w:val="baseline"/>
              </w:rPr>
              <w:t>4</w:t>
            </w:r>
            <w:r>
              <w:rPr>
                <w:rFonts w:hint="eastAsia" w:ascii="Times New Roman" w:hAnsi="Times New Roman" w:eastAsia="宋体" w:cs="Times New Roman"/>
                <w:snapToGrid/>
                <w:color w:val="auto"/>
                <w:spacing w:val="0"/>
                <w:w w:val="100"/>
                <w:position w:val="0"/>
                <w:sz w:val="24"/>
                <w:szCs w:val="24"/>
                <w:u w:val="none" w:color="auto"/>
                <w:vertAlign w:val="baseline"/>
              </w:rPr>
              <w:t>）第</w:t>
            </w:r>
            <w:r>
              <w:rPr>
                <w:rFonts w:ascii="Times New Roman" w:hAnsi="Times New Roman" w:eastAsia="宋体" w:cs="Times New Roman"/>
                <w:snapToGrid/>
                <w:color w:val="auto"/>
                <w:spacing w:val="0"/>
                <w:w w:val="100"/>
                <w:position w:val="0"/>
                <w:sz w:val="24"/>
                <w:szCs w:val="24"/>
                <w:u w:val="none" w:color="auto"/>
                <w:vertAlign w:val="baseline"/>
              </w:rPr>
              <w:t>8</w:t>
            </w:r>
            <w:r>
              <w:rPr>
                <w:rFonts w:hint="eastAsia" w:ascii="Times New Roman" w:hAnsi="Times New Roman" w:eastAsia="宋体" w:cs="Times New Roman"/>
                <w:snapToGrid/>
                <w:color w:val="auto"/>
                <w:spacing w:val="0"/>
                <w:w w:val="100"/>
                <w:position w:val="0"/>
                <w:sz w:val="24"/>
                <w:szCs w:val="24"/>
                <w:u w:val="none" w:color="auto"/>
                <w:vertAlign w:val="baseline"/>
              </w:rPr>
              <w:t>项是扣分项，符合该条件扣</w:t>
            </w: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分，不符合不扣分。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：自评说明：附上相关文件、记录等证明自评得分的材料。</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2</w:t>
      </w:r>
      <w:r>
        <w:rPr>
          <w:rFonts w:hint="eastAsia" w:ascii="Times New Roman" w:hAnsi="Times New Roman" w:eastAsia="仿宋_GB2312" w:cs="Times New Roman"/>
          <w:snapToGrid/>
          <w:color w:val="auto"/>
          <w:spacing w:val="0"/>
          <w:w w:val="100"/>
          <w:position w:val="0"/>
          <w:sz w:val="32"/>
          <w:szCs w:val="32"/>
          <w:u w:val="none" w:color="auto"/>
          <w:vertAlign w:val="baseline"/>
        </w:rPr>
        <w:t>．技术考核指标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火力发电、钢铁、铁矿采选、纺织染整、化纤长丝织造、造纸、石油炼制、炼焦、现代煤化工、乙烯、氧化铝、电解铝、氯碱、氮肥、船舶、多晶硅行业、味精、啤酒等18个</w:t>
      </w:r>
      <w:r>
        <w:rPr>
          <w:rFonts w:hint="eastAsia" w:ascii="Times New Roman" w:hAnsi="Times New Roman" w:eastAsia="仿宋_GB2312" w:cs="Times New Roman"/>
          <w:snapToGrid/>
          <w:color w:val="auto"/>
          <w:spacing w:val="0"/>
          <w:w w:val="100"/>
          <w:position w:val="0"/>
          <w:sz w:val="32"/>
          <w:szCs w:val="32"/>
          <w:u w:val="none" w:color="auto"/>
          <w:vertAlign w:val="baseline"/>
        </w:rPr>
        <w:t>行业企业</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按照标准要求</w:t>
      </w:r>
      <w:r>
        <w:rPr>
          <w:rFonts w:hint="eastAsia" w:ascii="Times New Roman" w:hAnsi="Times New Roman" w:eastAsia="仿宋_GB2312" w:cs="Times New Roman"/>
          <w:snapToGrid/>
          <w:color w:val="auto"/>
          <w:spacing w:val="0"/>
          <w:w w:val="100"/>
          <w:position w:val="0"/>
          <w:sz w:val="32"/>
          <w:szCs w:val="32"/>
          <w:u w:val="none" w:color="auto"/>
          <w:vertAlign w:val="baseline"/>
        </w:rPr>
        <w:t>计算本企业的技术考核指标值，并给出相应的计算过程。</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其他行业可按照《陕西省行业用水定额》(DB61/T 943-2020)标准计算本企业的技术考核指标值</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对照定额先进值和领跑值，用于节水型企业和节水标杆企业的技术指标评定</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）技术考核要求（火力发电行业）</w:t>
      </w:r>
    </w:p>
    <w:tbl>
      <w:tblPr>
        <w:tblStyle w:val="3"/>
        <w:tblW w:w="869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67"/>
        <w:gridCol w:w="2335"/>
        <w:gridCol w:w="1673"/>
        <w:gridCol w:w="1187"/>
        <w:gridCol w:w="1240"/>
        <w:gridCol w:w="99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考核内容</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单位</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技术指标</w:t>
            </w:r>
          </w:p>
        </w:tc>
        <w:tc>
          <w:tcPr>
            <w:tcW w:w="3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8"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取水量</w:t>
            </w:r>
          </w:p>
        </w:tc>
        <w:tc>
          <w:tcPr>
            <w:tcW w:w="23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单位发电量取水量/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［m³/(MW·h)］</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机组冷却形式</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单机容量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＜300MW</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单机容量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300MW级</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单机容量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600MW级及以上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2"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循环冷却</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≤1.85</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≤1.7</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≤1.6</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2"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直流冷却</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≤0.41</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≤0.34</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≤0.33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2"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空气冷却</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≤0.</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32</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≤0.3</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2</w:t>
            </w:r>
            <w:r>
              <w:rPr>
                <w:rFonts w:ascii="Times New Roman" w:hAnsi="Times New Roman" w:eastAsia="宋体" w:cs="Times New Roman"/>
                <w:snapToGrid/>
                <w:color w:val="auto"/>
                <w:spacing w:val="0"/>
                <w:w w:val="100"/>
                <w:position w:val="0"/>
                <w:sz w:val="24"/>
                <w:szCs w:val="24"/>
                <w:u w:val="none" w:color="auto"/>
                <w:vertAlign w:val="baseline"/>
              </w:rPr>
              <w:t>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1"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重复利用</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循环冷却水排污水回用率/％</w:t>
            </w:r>
          </w:p>
        </w:tc>
        <w:tc>
          <w:tcPr>
            <w:tcW w:w="50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全厂废水回用率/％</w:t>
            </w:r>
          </w:p>
        </w:tc>
        <w:tc>
          <w:tcPr>
            <w:tcW w:w="50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79" w:hRule="atLeast"/>
          <w:jc w:val="center"/>
        </w:trPr>
        <w:tc>
          <w:tcPr>
            <w:tcW w:w="86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注1：各参数计算方法参见GB/T 26925-2011</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节水型企业 火力发电行业</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注2：循环冷却不包含海水循环冷却，海水循环冷却按直流冷却对待。</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2</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）技术考核要求（钢铁行业）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41"/>
        <w:gridCol w:w="3484"/>
        <w:gridCol w:w="1318"/>
        <w:gridCol w:w="16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吨钢取水量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直接冷却水循环率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26924-2011</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钢铁行业》。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3</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）技术考核要求（铁矿采选行业）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189"/>
        <w:gridCol w:w="2336"/>
        <w:gridCol w:w="1318"/>
        <w:gridCol w:w="16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磁铁矿选矿工艺取水量（阶段磨矿—磁选）</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吨原矿水量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赤铁矿选矿工艺取水量（阶段磨矿—磁选—反浮选）</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吨原矿水量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混合矿选矿工艺取水量（阶段磨矿—磁选—反浮选）</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吨原矿水量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露天采矿工艺取水量</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吨采剥量取水量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0.003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地下采矿工艺取水量</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吨出矿取水量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重复利用</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注：各参数计算方法参见GB/T 34608-2017《节水型企业 铁矿采选行业》。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4</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）技术考核要求（纺织染整行业）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70"/>
        <w:gridCol w:w="3480"/>
        <w:gridCol w:w="1860"/>
        <w:gridCol w:w="17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70"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、棉、麻、化纤及混纺机织物</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70" w:type="dxa"/>
            <w:vMerge w:val="continue"/>
            <w:tcBorders>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、丝绸机织物</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7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、针织物及纱线</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70"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70" w:type="dxa"/>
            <w:vMerge w:val="continue"/>
            <w:tcBorders>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4" w:hRule="atLeast"/>
          <w:jc w:val="center"/>
        </w:trPr>
        <w:tc>
          <w:tcPr>
            <w:tcW w:w="1470" w:type="dxa"/>
            <w:vMerge w:val="continue"/>
            <w:tcBorders>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、冷凝水回用率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jc w:val="center"/>
        </w:trPr>
        <w:tc>
          <w:tcPr>
            <w:tcW w:w="147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8"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6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a.</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26923-2011</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纺织染整行业》。</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以棉色布为标准品，将标准品折合系数为</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，机织物百米基准值为布幅宽度</w:t>
            </w:r>
            <w:r>
              <w:rPr>
                <w:rFonts w:ascii="Times New Roman" w:hAnsi="Times New Roman" w:eastAsia="宋体" w:cs="Times New Roman"/>
                <w:snapToGrid/>
                <w:color w:val="auto"/>
                <w:spacing w:val="0"/>
                <w:w w:val="100"/>
                <w:position w:val="0"/>
                <w:sz w:val="24"/>
                <w:szCs w:val="24"/>
                <w:u w:val="none" w:color="auto"/>
                <w:vertAlign w:val="baseline"/>
              </w:rPr>
              <w:t>106cm</w:t>
            </w:r>
            <w:r>
              <w:rPr>
                <w:rFonts w:hint="eastAsia" w:ascii="Times New Roman" w:hAnsi="Times New Roman" w:eastAsia="宋体" w:cs="Times New Roman"/>
                <w:snapToGrid/>
                <w:color w:val="auto"/>
                <w:spacing w:val="0"/>
                <w:w w:val="100"/>
                <w:position w:val="0"/>
                <w:sz w:val="24"/>
                <w:szCs w:val="24"/>
                <w:u w:val="none" w:color="auto"/>
                <w:vertAlign w:val="baseline"/>
              </w:rPr>
              <w:t>、布重</w:t>
            </w:r>
            <w:r>
              <w:rPr>
                <w:rFonts w:ascii="Times New Roman" w:hAnsi="Times New Roman" w:eastAsia="宋体" w:cs="Times New Roman"/>
                <w:snapToGrid/>
                <w:color w:val="auto"/>
                <w:spacing w:val="0"/>
                <w:w w:val="100"/>
                <w:position w:val="0"/>
                <w:sz w:val="24"/>
                <w:szCs w:val="24"/>
                <w:u w:val="none" w:color="auto"/>
                <w:vertAlign w:val="baseline"/>
              </w:rPr>
              <w:t xml:space="preserve">12.00kg/100m </w:t>
            </w:r>
            <w:r>
              <w:rPr>
                <w:rFonts w:hint="eastAsia" w:ascii="Times New Roman" w:hAnsi="Times New Roman" w:eastAsia="宋体" w:cs="Times New Roman"/>
                <w:snapToGrid/>
                <w:color w:val="auto"/>
                <w:spacing w:val="0"/>
                <w:w w:val="100"/>
                <w:position w:val="0"/>
                <w:sz w:val="24"/>
                <w:szCs w:val="24"/>
                <w:u w:val="none" w:color="auto"/>
                <w:vertAlign w:val="baseline"/>
              </w:rPr>
              <w:t>的合格产品，当棉机织产品布幅宽度或布重不同时，计算其产品产量可按附录</w:t>
            </w: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基准棉印染产品产量计算公式进行相应的换算。其他产品，可根据织物的长度、幅宽、厚度等数据按照</w:t>
            </w:r>
            <w:r>
              <w:rPr>
                <w:rFonts w:ascii="Times New Roman" w:hAnsi="Times New Roman" w:eastAsia="宋体" w:cs="Times New Roman"/>
                <w:snapToGrid/>
                <w:color w:val="auto"/>
                <w:spacing w:val="0"/>
                <w:w w:val="100"/>
                <w:position w:val="0"/>
                <w:sz w:val="24"/>
                <w:szCs w:val="24"/>
                <w:u w:val="none" w:color="auto"/>
                <w:vertAlign w:val="baseline"/>
              </w:rPr>
              <w:t>FZ/T 01002-2010</w:t>
            </w:r>
            <w:r>
              <w:rPr>
                <w:rFonts w:hint="eastAsia" w:ascii="Times New Roman" w:hAnsi="Times New Roman" w:eastAsia="宋体" w:cs="Times New Roman"/>
                <w:snapToGrid/>
                <w:color w:val="auto"/>
                <w:spacing w:val="0"/>
                <w:w w:val="100"/>
                <w:position w:val="0"/>
                <w:sz w:val="24"/>
                <w:szCs w:val="24"/>
                <w:u w:val="none" w:color="auto"/>
                <w:vertAlign w:val="baseline"/>
              </w:rPr>
              <w:t>《印染企业综合能耗计算办法及基本定额》中附录</w:t>
            </w: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的规定进行换算。</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毛织物单位产品取水量考核指标另行制定。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5</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）技术考核要求（化纤长丝织造行业）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99"/>
        <w:gridCol w:w="1557"/>
        <w:gridCol w:w="1967"/>
        <w:gridCol w:w="1406"/>
        <w:gridCol w:w="169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7" w:hRule="atLeas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1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15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喷水织造</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涤纶长丝织物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8"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锦纶长丝织物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2"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非喷水织造</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涤纶、锦纶、人造丝织物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直接冷却水循环率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蒸汽冷凝水回用率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GB/T37832-2019</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化纤长丝织造行业》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6）技术考核要求（造纸行业）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61"/>
        <w:gridCol w:w="4685"/>
        <w:gridCol w:w="1168"/>
        <w:gridCol w:w="110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漂白化学木（竹）浆</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m3/Adt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本色化学木（竹）浆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化学机械木浆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漂白化学非木（麦草、芦苇、甘蔗渣）浆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脱墨废纸浆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未脱墨废纸浆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新闻纸</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印刷书写纸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生活用纸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包装用纸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白纸板</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箱纸板</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瓦楞原纸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纸浆</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纸及纸板</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a.</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26927-2011</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造纸行业》。</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经抄浆机生产浆板时，允许在本定额的基础上增加</w:t>
            </w:r>
            <w:r>
              <w:rPr>
                <w:rFonts w:ascii="Times New Roman" w:hAnsi="Times New Roman" w:eastAsia="宋体" w:cs="Times New Roman"/>
                <w:snapToGrid/>
                <w:color w:val="auto"/>
                <w:spacing w:val="0"/>
                <w:w w:val="100"/>
                <w:position w:val="0"/>
                <w:sz w:val="24"/>
                <w:szCs w:val="24"/>
                <w:u w:val="none" w:color="auto"/>
                <w:vertAlign w:val="baseline"/>
              </w:rPr>
              <w:t>10m3/t</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生产漂白脱墨废纸浆时，允许在本定额的基础上增加</w:t>
            </w:r>
            <w:r>
              <w:rPr>
                <w:rFonts w:ascii="Times New Roman" w:hAnsi="Times New Roman" w:eastAsia="宋体" w:cs="Times New Roman"/>
                <w:snapToGrid/>
                <w:color w:val="auto"/>
                <w:spacing w:val="0"/>
                <w:w w:val="100"/>
                <w:position w:val="0"/>
                <w:sz w:val="24"/>
                <w:szCs w:val="24"/>
                <w:u w:val="none" w:color="auto"/>
                <w:vertAlign w:val="baseline"/>
              </w:rPr>
              <w:t>10m3/t</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d.</w:t>
            </w:r>
            <w:r>
              <w:rPr>
                <w:rFonts w:hint="eastAsia" w:ascii="Times New Roman" w:hAnsi="Times New Roman" w:eastAsia="宋体" w:cs="Times New Roman"/>
                <w:snapToGrid/>
                <w:color w:val="auto"/>
                <w:spacing w:val="0"/>
                <w:w w:val="100"/>
                <w:position w:val="0"/>
                <w:sz w:val="24"/>
                <w:szCs w:val="24"/>
                <w:u w:val="none" w:color="auto"/>
                <w:vertAlign w:val="baseline"/>
              </w:rPr>
              <w:t>生产涂布类纸及纸板时，允许在本定额的基础上增加</w:t>
            </w:r>
            <w:r>
              <w:rPr>
                <w:rFonts w:ascii="Times New Roman" w:hAnsi="Times New Roman" w:eastAsia="宋体" w:cs="Times New Roman"/>
                <w:snapToGrid/>
                <w:color w:val="auto"/>
                <w:spacing w:val="0"/>
                <w:w w:val="100"/>
                <w:position w:val="0"/>
                <w:sz w:val="24"/>
                <w:szCs w:val="24"/>
                <w:u w:val="none" w:color="auto"/>
                <w:vertAlign w:val="baseline"/>
              </w:rPr>
              <w:t>10m3/t</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e.</w:t>
            </w:r>
            <w:r>
              <w:rPr>
                <w:rFonts w:hint="eastAsia" w:ascii="Times New Roman" w:hAnsi="Times New Roman" w:eastAsia="宋体" w:cs="Times New Roman"/>
                <w:snapToGrid/>
                <w:color w:val="auto"/>
                <w:spacing w:val="0"/>
                <w:w w:val="100"/>
                <w:position w:val="0"/>
                <w:sz w:val="24"/>
                <w:szCs w:val="24"/>
                <w:u w:val="none" w:color="auto"/>
                <w:vertAlign w:val="baseline"/>
              </w:rPr>
              <w:t>纸浆的计量单位为吨风干浆（含水</w:t>
            </w:r>
            <w:r>
              <w:rPr>
                <w:rFonts w:ascii="Times New Roman" w:hAnsi="Times New Roman" w:eastAsia="宋体" w:cs="Times New Roman"/>
                <w:snapToGrid/>
                <w:color w:val="auto"/>
                <w:spacing w:val="0"/>
                <w:w w:val="100"/>
                <w:position w:val="0"/>
                <w:sz w:val="24"/>
                <w:szCs w:val="24"/>
                <w:u w:val="none" w:color="auto"/>
                <w:vertAlign w:val="baseline"/>
              </w:rPr>
              <w:t>10%</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f.</w:t>
            </w:r>
            <w:r>
              <w:rPr>
                <w:rFonts w:hint="eastAsia" w:ascii="Times New Roman" w:hAnsi="Times New Roman" w:eastAsia="宋体" w:cs="Times New Roman"/>
                <w:snapToGrid/>
                <w:color w:val="auto"/>
                <w:spacing w:val="0"/>
                <w:w w:val="100"/>
                <w:position w:val="0"/>
                <w:sz w:val="24"/>
                <w:szCs w:val="24"/>
                <w:u w:val="none" w:color="auto"/>
                <w:vertAlign w:val="baseline"/>
              </w:rPr>
              <w:t>纸浆、纸、纸板的取水量定额指标分别计。</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g.</w:t>
            </w:r>
            <w:r>
              <w:rPr>
                <w:rFonts w:hint="eastAsia" w:ascii="Times New Roman" w:hAnsi="Times New Roman" w:eastAsia="宋体" w:cs="Times New Roman"/>
                <w:snapToGrid/>
                <w:color w:val="auto"/>
                <w:spacing w:val="0"/>
                <w:w w:val="100"/>
                <w:position w:val="0"/>
                <w:sz w:val="24"/>
                <w:szCs w:val="24"/>
                <w:u w:val="none" w:color="auto"/>
                <w:vertAlign w:val="baseline"/>
              </w:rPr>
              <w:t>高得率半化学本色木浆及草浆按本色化学木浆执行，机械木浆按化学机械木浆执行。</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h.</w:t>
            </w:r>
            <w:r>
              <w:rPr>
                <w:rFonts w:hint="eastAsia" w:ascii="Times New Roman" w:hAnsi="Times New Roman" w:eastAsia="宋体" w:cs="Times New Roman"/>
                <w:snapToGrid/>
                <w:color w:val="auto"/>
                <w:spacing w:val="0"/>
                <w:w w:val="100"/>
                <w:position w:val="0"/>
                <w:sz w:val="24"/>
                <w:szCs w:val="24"/>
                <w:u w:val="none" w:color="auto"/>
                <w:vertAlign w:val="baseline"/>
              </w:rPr>
              <w:t>此表不包括特殊浆种、薄页纸及特种纸的取水量。</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7</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）技术考核要求（石油炼制行业）</w:t>
      </w:r>
    </w:p>
    <w:tbl>
      <w:tblPr>
        <w:tblStyle w:val="3"/>
        <w:tblW w:w="8518"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
      <w:tblGrid>
        <w:gridCol w:w="1700"/>
        <w:gridCol w:w="3117"/>
        <w:gridCol w:w="1367"/>
        <w:gridCol w:w="2334"/>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加工吨原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料</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油取水量</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41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97.5</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浓缩倍数</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倍</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4.0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软化水、除盐水制取系数</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1.1</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蒸汽冷凝水回收率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含硫污水汽提净化水回用率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加工吨原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料</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油排水量</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0.35</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1493" w:hRule="atLeast"/>
          <w:jc w:val="center"/>
        </w:trPr>
        <w:tc>
          <w:tcPr>
            <w:tcW w:w="8518" w:type="dxa"/>
            <w:gridSpan w:val="4"/>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 xml:space="preserve">GB/T 26926-2011 </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石油炼制行业》</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注2：</w:t>
            </w:r>
            <w:r>
              <w:rPr>
                <w:rFonts w:hint="eastAsia" w:ascii="Times New Roman" w:hAnsi="Times New Roman" w:eastAsia="宋体" w:cs="Times New Roman"/>
                <w:snapToGrid/>
                <w:color w:val="auto"/>
                <w:spacing w:val="0"/>
                <w:w w:val="100"/>
                <w:position w:val="0"/>
                <w:sz w:val="24"/>
                <w:szCs w:val="24"/>
                <w:u w:val="none" w:color="auto"/>
                <w:vertAlign w:val="baseline"/>
              </w:rPr>
              <w:t>表中浓缩倍数指标是按间接冷却水循环系统中补充运行过程中损失的取水量确定的，当企业的间接冷却水循环系统的补充水中含有污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水回用水时，可将浓缩倍数指标按污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水回用水水量占补充水总量的</w:t>
            </w:r>
            <w:r>
              <w:rPr>
                <w:rFonts w:ascii="Times New Roman" w:hAnsi="Times New Roman" w:eastAsia="宋体" w:cs="Times New Roman"/>
                <w:snapToGrid/>
                <w:color w:val="auto"/>
                <w:spacing w:val="0"/>
                <w:w w:val="100"/>
                <w:position w:val="0"/>
                <w:sz w:val="24"/>
                <w:szCs w:val="24"/>
                <w:u w:val="none" w:color="auto"/>
                <w:vertAlign w:val="baseline"/>
              </w:rPr>
              <w:t>10</w:t>
            </w:r>
            <w:r>
              <w:rPr>
                <w:rFonts w:hint="eastAsia" w:ascii="Times New Roman" w:hAnsi="Times New Roman" w:eastAsia="宋体" w:cs="Times New Roman"/>
                <w:snapToGrid/>
                <w:color w:val="auto"/>
                <w:spacing w:val="0"/>
                <w:w w:val="100"/>
                <w:position w:val="0"/>
                <w:sz w:val="24"/>
                <w:szCs w:val="24"/>
                <w:u w:val="none" w:color="auto"/>
                <w:vertAlign w:val="baseline"/>
              </w:rPr>
              <w:t>％递减</w:t>
            </w:r>
            <w:r>
              <w:rPr>
                <w:rFonts w:ascii="Times New Roman" w:hAnsi="Times New Roman" w:eastAsia="宋体" w:cs="Times New Roman"/>
                <w:snapToGrid/>
                <w:color w:val="auto"/>
                <w:spacing w:val="0"/>
                <w:w w:val="100"/>
                <w:position w:val="0"/>
                <w:sz w:val="24"/>
                <w:szCs w:val="24"/>
                <w:u w:val="none" w:color="auto"/>
                <w:vertAlign w:val="baseline"/>
              </w:rPr>
              <w:t>0.1</w:t>
            </w:r>
            <w:r>
              <w:rPr>
                <w:rFonts w:hint="eastAsia" w:ascii="Times New Roman" w:hAnsi="Times New Roman" w:eastAsia="宋体" w:cs="Times New Roman"/>
                <w:snapToGrid/>
                <w:color w:val="auto"/>
                <w:spacing w:val="0"/>
                <w:w w:val="100"/>
                <w:position w:val="0"/>
                <w:sz w:val="24"/>
                <w:szCs w:val="24"/>
                <w:u w:val="none" w:color="auto"/>
                <w:vertAlign w:val="baseline"/>
              </w:rPr>
              <w:t>进行确定。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8）技术考核要求（炼焦行业）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7"/>
        <w:gridCol w:w="2617"/>
        <w:gridCol w:w="1538"/>
        <w:gridCol w:w="993"/>
        <w:gridCol w:w="993"/>
        <w:gridCol w:w="99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常规焦炉</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热回收焦炉</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半焦炉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吨焦取水量</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0.4</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5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5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GB/T34610-2017</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炼焦行业》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9）技术考核要求（现代煤化工行业）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67"/>
        <w:gridCol w:w="3030"/>
        <w:gridCol w:w="2023"/>
        <w:gridCol w:w="936"/>
        <w:gridCol w:w="12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煤制甲醇吨产品取水量</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煤制乙二醇吨产品取水量</w:t>
            </w: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煤制乙二醇</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合成气制乙二醇</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煤制油吨产品取水量</w:t>
            </w: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煤炭直接液化</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煤炭间接液化</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煤制合成天然气吨产品取水量</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m3/kNm3</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煤制烯烃吨产品取水量</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废水排放达标率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 xml:space="preserve">GB/T 37759-2019 </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现代煤化工行业》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10）技术考核要求（乙烯行业）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40"/>
        <w:gridCol w:w="2456"/>
        <w:gridCol w:w="1457"/>
        <w:gridCol w:w="31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单位乙烯取水量</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化学水制取系数</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 m3</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1.1</w:t>
            </w:r>
            <w:r>
              <w:rPr>
                <w:rFonts w:hint="eastAsia" w:ascii="Times New Roman" w:hAnsi="Times New Roman" w:eastAsia="宋体" w:cs="Times New Roman"/>
                <w:snapToGrid/>
                <w:color w:val="auto"/>
                <w:spacing w:val="0"/>
                <w:w w:val="100"/>
                <w:position w:val="0"/>
                <w:sz w:val="24"/>
                <w:szCs w:val="24"/>
                <w:u w:val="none" w:color="auto"/>
                <w:vertAlign w:val="baseline"/>
              </w:rPr>
              <w:t>（离子交换树脂工艺）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 m3</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1.25</w:t>
            </w:r>
            <w:r>
              <w:rPr>
                <w:rFonts w:hint="eastAsia" w:ascii="Times New Roman" w:hAnsi="Times New Roman" w:eastAsia="宋体" w:cs="Times New Roman"/>
                <w:snapToGrid/>
                <w:color w:val="auto"/>
                <w:spacing w:val="0"/>
                <w:w w:val="100"/>
                <w:position w:val="0"/>
                <w:sz w:val="24"/>
                <w:szCs w:val="24"/>
                <w:u w:val="none" w:color="auto"/>
                <w:vertAlign w:val="baseline"/>
              </w:rPr>
              <w:t>（反渗透工艺）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循环水浓缩倍数</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倍</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蒸汽冷凝水回收率</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单位乙烯排水量</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a.</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32164-2015</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乙烯行业》。</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单位乙烯取水量的取水范围参见附录图</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D</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当企业的间接冷却水循环系统的补充水中含有污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水回用水时，将循环水浓缩倍数指标按污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水回用水水量占补充水总量的</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百分比数值</w:t>
            </w:r>
            <w:r>
              <w:rPr>
                <w:rFonts w:hint="eastAsia" w:ascii="Times New Roman" w:hAnsi="Times New Roman" w:eastAsia="宋体" w:cs="Times New Roman"/>
                <w:snapToGrid/>
                <w:color w:val="auto"/>
                <w:spacing w:val="0"/>
                <w:w w:val="100"/>
                <w:position w:val="0"/>
                <w:sz w:val="24"/>
                <w:szCs w:val="24"/>
                <w:u w:val="none" w:color="auto"/>
                <w:vertAlign w:val="baseline"/>
              </w:rPr>
              <w:t>进行</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削减</w:t>
            </w:r>
            <w:r>
              <w:rPr>
                <w:rFonts w:hint="eastAsia" w:ascii="Times New Roman" w:hAnsi="Times New Roman" w:eastAsia="宋体" w:cs="Times New Roman"/>
                <w:snapToGrid/>
                <w:color w:val="auto"/>
                <w:spacing w:val="0"/>
                <w:w w:val="100"/>
                <w:position w:val="0"/>
                <w:sz w:val="24"/>
                <w:szCs w:val="24"/>
                <w:u w:val="none" w:color="auto"/>
                <w:vertAlign w:val="baseline"/>
              </w:rPr>
              <w:t>。</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11）技术考核要求（氧化铝行业）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0"/>
        <w:gridCol w:w="2601"/>
        <w:gridCol w:w="762"/>
        <w:gridCol w:w="1200"/>
        <w:gridCol w:w="1301"/>
        <w:gridCol w:w="129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拜耳法考核值</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烧结法考核值</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联合法考核值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单位氧化铝产品取水量</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 3/t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9</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GB/T33232-2016</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氧化铝行业》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bookmarkStart w:id="0" w:name="_GoBack"/>
      <w:bookmarkEnd w:id="0"/>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12）技术考核要求（电解铝行业）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7"/>
        <w:gridCol w:w="2617"/>
        <w:gridCol w:w="1538"/>
        <w:gridCol w:w="29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单位电解铝取水量</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0.8（电解原铝液）</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1.1（重熔用铝锭）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 xml:space="preserve"> 92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 xml:space="preserve"> 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GB/T33233-2016</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电解铝行业》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13</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）技术考核要求（氯碱行业）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93"/>
        <w:gridCol w:w="3260"/>
        <w:gridCol w:w="1313"/>
        <w:gridCol w:w="185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吨烧碱取水量</w:t>
            </w:r>
            <w:r>
              <w:rPr>
                <w:rFonts w:ascii="Times New Roman" w:hAnsi="Times New Roman" w:eastAsia="宋体" w:cs="Times New Roman"/>
                <w:snapToGrid/>
                <w:color w:val="auto"/>
                <w:spacing w:val="0"/>
                <w:w w:val="100"/>
                <w:position w:val="0"/>
                <w:sz w:val="24"/>
                <w:szCs w:val="24"/>
                <w:u w:val="none" w:color="auto"/>
                <w:vertAlign w:val="baseline"/>
              </w:rPr>
              <w:t>(30%)</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吨电石法聚氯乙烯取水量</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吨乙烯法聚氯乙烯取水量</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排水量</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 xml:space="preserve">GB/T 37271-2018 </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氯碱行业》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14）技术考核要求（氮肥行业）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9"/>
        <w:gridCol w:w="4984"/>
        <w:gridCol w:w="1183"/>
        <w:gridCol w:w="10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以无烟块煤（型煤）为原料的吨合成氨取水量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以粉煤、褐煤为原料的吨合成氨取水量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以天然气（焦炉气）为原料的吨合成氨取水量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吨尿素取水量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废水排放达标率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GB/T36895-2018</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氮肥行业》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15）技术考核要求（船舶行业）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9"/>
        <w:gridCol w:w="4984"/>
        <w:gridCol w:w="1183"/>
        <w:gridCol w:w="10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取水</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金属船舶单位修正总吨取水量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7</w:t>
            </w:r>
            <w:r>
              <w:rPr>
                <w:rFonts w:ascii="Times New Roman" w:hAnsi="Times New Roman" w:eastAsia="宋体" w:cs="Times New Roman"/>
                <w:snapToGrid/>
                <w:color w:val="auto"/>
                <w:spacing w:val="0"/>
                <w:w w:val="100"/>
                <w:position w:val="0"/>
                <w:sz w:val="24"/>
                <w:szCs w:val="24"/>
                <w:u w:val="none" w:color="auto"/>
                <w:vertAlign w:val="baseline"/>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GB/T 37332-2019《节水型企业 船舶行业》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16）技术考核要求（多晶硅行业）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9"/>
        <w:gridCol w:w="4984"/>
        <w:gridCol w:w="1183"/>
        <w:gridCol w:w="10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单位多晶硅取水量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排水</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单位多晶硅排水量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注：各参数计算方法参见GB/T 38907-2020《节水型企业 多晶硅行业》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17）技术考核要求（味精行业）</w:t>
      </w:r>
    </w:p>
    <w:tbl>
      <w:tblPr>
        <w:tblStyle w:val="3"/>
        <w:tblW w:w="8522"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2853"/>
        <w:gridCol w:w="3214"/>
        <w:gridCol w:w="1047"/>
        <w:gridCol w:w="1408"/>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吨味精取水量</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8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8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32165-2015</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味精行业》。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18）技术考核要求（啤酒行业）</w:t>
      </w:r>
    </w:p>
    <w:tbl>
      <w:tblPr>
        <w:tblStyle w:val="3"/>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6"/>
        <w:gridCol w:w="2617"/>
        <w:gridCol w:w="1539"/>
        <w:gridCol w:w="29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千升啤酒取水量</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m3/kL</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4.0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间接冷却循环率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排放</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GB/T35576-2017</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啤酒行业》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dlZTQ2NDNjMDBjYjJiMGFjMWI1OWY1MDZhYzAifQ=="/>
  </w:docVars>
  <w:rsids>
    <w:rsidRoot w:val="67AE5093"/>
    <w:rsid w:val="01A7421E"/>
    <w:rsid w:val="03344A94"/>
    <w:rsid w:val="049D2624"/>
    <w:rsid w:val="083B791F"/>
    <w:rsid w:val="083C023A"/>
    <w:rsid w:val="0B4E61E8"/>
    <w:rsid w:val="10D97158"/>
    <w:rsid w:val="1282136C"/>
    <w:rsid w:val="14181631"/>
    <w:rsid w:val="1A1574F5"/>
    <w:rsid w:val="1B51408A"/>
    <w:rsid w:val="1F283F90"/>
    <w:rsid w:val="1FAE3C7E"/>
    <w:rsid w:val="282D666B"/>
    <w:rsid w:val="2E2626EC"/>
    <w:rsid w:val="34C5219B"/>
    <w:rsid w:val="379F0A81"/>
    <w:rsid w:val="3CFB2BFE"/>
    <w:rsid w:val="42B40980"/>
    <w:rsid w:val="436A5D90"/>
    <w:rsid w:val="45D71D2E"/>
    <w:rsid w:val="48A2207A"/>
    <w:rsid w:val="491A4E19"/>
    <w:rsid w:val="4A340C0E"/>
    <w:rsid w:val="4CCA27D0"/>
    <w:rsid w:val="510E0CFA"/>
    <w:rsid w:val="516E1798"/>
    <w:rsid w:val="5452714F"/>
    <w:rsid w:val="56A25A40"/>
    <w:rsid w:val="5BF552FB"/>
    <w:rsid w:val="5F690ACE"/>
    <w:rsid w:val="5FDA4C96"/>
    <w:rsid w:val="60F03F78"/>
    <w:rsid w:val="65644F35"/>
    <w:rsid w:val="67AE5093"/>
    <w:rsid w:val="6CAD0574"/>
    <w:rsid w:val="6D6A7E15"/>
    <w:rsid w:val="6F7B797F"/>
    <w:rsid w:val="738549F4"/>
    <w:rsid w:val="7A4D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7436</Words>
  <Characters>8434</Characters>
  <Lines>0</Lines>
  <Paragraphs>0</Paragraphs>
  <TotalTime>9</TotalTime>
  <ScaleCrop>false</ScaleCrop>
  <LinksUpToDate>false</LinksUpToDate>
  <CharactersWithSpaces>8748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2021-06-03T08:56:00Z</dcterms:created>
  <dc:creator>烟波微澜</dc:creator>
  <cp:lastModifiedBy>Bruce</cp:lastModifiedBy>
  <dcterms:modified xsi:type="dcterms:W3CDTF">2024-04-09T07:50:19Z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9642D83495BB472992021941BEA8AAF4_12</vt:lpwstr>
  </property>
</Properties>
</file>